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Times New Roman" w:eastAsia="方正小标宋简体" w:cs="Times New Roman"/>
          <w:bCs/>
          <w:sz w:val="44"/>
          <w:szCs w:val="44"/>
        </w:rPr>
      </w:pPr>
      <w:r>
        <w:rPr>
          <w:rFonts w:hint="eastAsia" w:ascii="方正小标宋简体" w:hAnsi="Times New Roman" w:eastAsia="方正小标宋简体" w:cs="方正小标宋简体"/>
          <w:bCs/>
          <w:sz w:val="44"/>
          <w:szCs w:val="44"/>
        </w:rPr>
        <w:t>大厂回族自治县人民代表大会常务委员会</w:t>
      </w:r>
    </w:p>
    <w:p>
      <w:pPr>
        <w:ind w:firstLine="880" w:firstLineChars="200"/>
        <w:jc w:val="center"/>
        <w:rPr>
          <w:rFonts w:ascii="方正小标宋简体" w:hAnsi="Times New Roman" w:eastAsia="方正小标宋简体" w:cs="Times New Roman"/>
          <w:bCs/>
          <w:sz w:val="44"/>
          <w:szCs w:val="44"/>
        </w:rPr>
      </w:pPr>
      <w:r>
        <w:rPr>
          <w:rFonts w:ascii="方正小标宋简体" w:hAnsi="Times New Roman" w:eastAsia="方正小标宋简体" w:cs="方正小标宋简体"/>
          <w:bCs/>
          <w:sz w:val="44"/>
          <w:szCs w:val="44"/>
        </w:rPr>
        <w:t>201</w:t>
      </w:r>
      <w:r>
        <w:rPr>
          <w:rFonts w:hint="eastAsia" w:ascii="方正小标宋简体" w:hAnsi="Times New Roman" w:eastAsia="方正小标宋简体" w:cs="方正小标宋简体"/>
          <w:bCs/>
          <w:sz w:val="44"/>
          <w:szCs w:val="44"/>
        </w:rPr>
        <w:t>8年度部门预算信息公开情况说明</w:t>
      </w:r>
    </w:p>
    <w:p>
      <w:pPr>
        <w:ind w:firstLine="880" w:firstLineChars="200"/>
        <w:jc w:val="center"/>
        <w:rPr>
          <w:rFonts w:ascii="Times New Roman" w:hAnsi="Times New Roman" w:eastAsia="方正小标宋_GBK" w:cs="Times New Roman"/>
          <w:sz w:val="44"/>
          <w:szCs w:val="44"/>
        </w:rPr>
      </w:pPr>
    </w:p>
    <w:p>
      <w:pPr>
        <w:ind w:firstLine="640" w:firstLineChars="200"/>
        <w:rPr>
          <w:rFonts w:ascii="仿宋" w:hAnsi="仿宋" w:eastAsia="仿宋" w:cs="Times New Roman"/>
          <w:sz w:val="32"/>
          <w:szCs w:val="32"/>
        </w:rPr>
      </w:pPr>
      <w:r>
        <w:rPr>
          <w:rFonts w:hint="eastAsia" w:ascii="仿宋" w:hAnsi="仿宋" w:eastAsia="仿宋" w:cs="仿宋"/>
          <w:sz w:val="32"/>
          <w:szCs w:val="32"/>
        </w:rPr>
        <w:t>按照</w:t>
      </w:r>
      <w:r>
        <w:rPr>
          <w:rFonts w:hint="eastAsia" w:ascii="仿宋" w:hAnsi="仿宋" w:eastAsia="仿宋" w:cs="仿宋"/>
          <w:sz w:val="32"/>
          <w:szCs w:val="32"/>
          <w:lang w:eastAsia="zh-CN"/>
        </w:rPr>
        <w:t>《中华人民共和国预算法》</w:t>
      </w:r>
      <w:r>
        <w:rPr>
          <w:rFonts w:hint="eastAsia" w:ascii="仿宋" w:hAnsi="仿宋" w:eastAsia="仿宋" w:cs="仿宋"/>
          <w:sz w:val="32"/>
          <w:szCs w:val="32"/>
        </w:rPr>
        <w:t>、《地方预决算公开操作规程》和《河北省省级预算公开办法》规定，现将大厂回族自治县人民代表大会常务委员会</w:t>
      </w:r>
      <w:r>
        <w:rPr>
          <w:rFonts w:ascii="仿宋" w:hAnsi="仿宋" w:eastAsia="仿宋" w:cs="仿宋"/>
          <w:sz w:val="32"/>
          <w:szCs w:val="32"/>
        </w:rPr>
        <w:t>201</w:t>
      </w:r>
      <w:r>
        <w:rPr>
          <w:rFonts w:hint="eastAsia" w:ascii="仿宋" w:hAnsi="仿宋" w:eastAsia="仿宋" w:cs="仿宋"/>
          <w:sz w:val="32"/>
          <w:szCs w:val="32"/>
        </w:rPr>
        <w:t>8年度部门预算公开如下：</w:t>
      </w:r>
    </w:p>
    <w:p>
      <w:pPr>
        <w:ind w:firstLine="64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部门职责：</w:t>
      </w:r>
    </w:p>
    <w:p>
      <w:pPr>
        <w:widowControl/>
        <w:spacing w:line="560" w:lineRule="exact"/>
        <w:jc w:val="left"/>
        <w:rPr>
          <w:rFonts w:ascii="仿宋" w:hAnsi="仿宋" w:eastAsia="仿宋" w:cs="Times New Roman"/>
          <w:sz w:val="32"/>
          <w:szCs w:val="32"/>
        </w:rPr>
      </w:pPr>
      <w:r>
        <w:rPr>
          <w:rFonts w:hint="eastAsia" w:ascii="仿宋" w:hAnsi="仿宋" w:eastAsia="仿宋" w:cs="仿宋"/>
          <w:sz w:val="32"/>
          <w:szCs w:val="32"/>
        </w:rPr>
        <w:t xml:space="preserve">    ●认真筹备，精心组织，开好人民代表大会。</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●深入学习，严格依法依规办事，搞好换届选举工作。</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●围绕县委的工作部署和人代会确定的工作目标，坚持以经济建设为中心，对“一府两院”的工作进行重点监督，完善督办职能，提高监督实效。</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●深入贯彻落实科学发展观，着眼于全县经济和社会的协调发展，对社会事业发展情况和群众关心的热点问题进行监督。</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●深入实际，开展调查研究。结合县委中心工作和常委会审议议题，不断深入实际，摸实底、查实情，掌握实际情况，做出客观分析和评价，提出有针对性和指导性的意见和建议，写出有理有据的调研报告。</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●进一步活跃闭会期间代表活动，为代表依法履行职责提供条件和服务，提高代表的整体水平。</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●进一步加强人大宣传工作。围绕常委会的重要工作，</w:t>
      </w:r>
      <w:r>
        <w:rPr>
          <w:rFonts w:hint="eastAsia" w:ascii="仿宋" w:hAnsi="仿宋" w:eastAsia="仿宋" w:cs="仿宋"/>
          <w:sz w:val="32"/>
          <w:szCs w:val="32"/>
          <w:lang w:eastAsia="zh-CN"/>
        </w:rPr>
        <w:t>制</w:t>
      </w:r>
      <w:r>
        <w:rPr>
          <w:rFonts w:hint="eastAsia" w:ascii="仿宋" w:hAnsi="仿宋" w:eastAsia="仿宋" w:cs="仿宋"/>
          <w:sz w:val="32"/>
          <w:szCs w:val="32"/>
          <w:lang w:val="en-US" w:eastAsia="zh-CN"/>
        </w:rPr>
        <w:t>订</w:t>
      </w:r>
      <w:r>
        <w:rPr>
          <w:rFonts w:hint="eastAsia" w:ascii="仿宋" w:hAnsi="仿宋" w:eastAsia="仿宋" w:cs="仿宋"/>
          <w:sz w:val="32"/>
          <w:szCs w:val="32"/>
        </w:rPr>
        <w:t>宣传计划，开辟宣传阵地，深化宣传内容，提高宣传效果。</w:t>
      </w:r>
    </w:p>
    <w:p>
      <w:pPr>
        <w:spacing w:line="560" w:lineRule="exact"/>
        <w:ind w:firstLine="611" w:firstLineChars="191"/>
        <w:rPr>
          <w:rFonts w:ascii="仿宋" w:hAnsi="仿宋" w:eastAsia="仿宋" w:cs="Times New Roman"/>
          <w:sz w:val="32"/>
          <w:szCs w:val="32"/>
        </w:rPr>
      </w:pPr>
      <w:r>
        <w:rPr>
          <w:rFonts w:hint="eastAsia" w:ascii="仿宋" w:hAnsi="仿宋" w:eastAsia="仿宋" w:cs="仿宋"/>
          <w:sz w:val="32"/>
          <w:szCs w:val="32"/>
        </w:rPr>
        <w:t>●积极探索，勇于创新，努力提高人大工作实效。在继续坚持和完善现有人大工作方式方法的基础上，不断解放思想，努力探索新时期人大工作的新形式、新途径，用创新的思维方式和工作方法，推动新时期人大工作向纵深发展，不断开创我县人大工作新局面。</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机构设置：</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cs="Times New Roman"/>
              </w:rPr>
            </w:pPr>
          </w:p>
        </w:tc>
        <w:tc>
          <w:tcPr>
            <w:tcW w:w="1134" w:type="dxa"/>
            <w:vMerge w:val="continue"/>
            <w:vAlign w:val="center"/>
          </w:tcPr>
          <w:p>
            <w:pPr>
              <w:spacing w:line="300" w:lineRule="exact"/>
              <w:jc w:val="left"/>
              <w:outlineLvl w:val="0"/>
              <w:rPr>
                <w:rFonts w:ascii="Times New Roman" w:hAnsi="Times New Roman" w:cs="Times New Roman"/>
              </w:rPr>
            </w:pPr>
          </w:p>
        </w:tc>
        <w:tc>
          <w:tcPr>
            <w:tcW w:w="1276" w:type="dxa"/>
            <w:vMerge w:val="continue"/>
            <w:vAlign w:val="center"/>
          </w:tcPr>
          <w:p>
            <w:pPr>
              <w:spacing w:line="300" w:lineRule="exact"/>
              <w:jc w:val="left"/>
              <w:outlineLvl w:val="0"/>
              <w:rPr>
                <w:rFonts w:ascii="Times New Roman" w:hAnsi="Times New Roman" w:cs="Times New Roman"/>
              </w:rPr>
            </w:pPr>
          </w:p>
        </w:tc>
        <w:tc>
          <w:tcPr>
            <w:tcW w:w="2902" w:type="dxa"/>
            <w:vMerge w:val="continue"/>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宋体" w:hAnsi="宋体" w:cs="宋体"/>
              </w:rPr>
            </w:pPr>
            <w:r>
              <w:rPr>
                <w:rFonts w:hint="eastAsia" w:ascii="宋体" w:hAnsi="宋体" w:cs="宋体"/>
              </w:rPr>
              <w:t>大厂回族自治县人民代表大会常务委员会</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行政</w:t>
            </w:r>
          </w:p>
        </w:tc>
        <w:tc>
          <w:tcPr>
            <w:tcW w:w="1276" w:type="dxa"/>
            <w:vAlign w:val="center"/>
          </w:tcPr>
          <w:p>
            <w:pPr>
              <w:spacing w:line="300" w:lineRule="exact"/>
              <w:jc w:val="center"/>
              <w:rPr>
                <w:rFonts w:ascii="宋体" w:cs="Times New Roman"/>
              </w:rPr>
            </w:pPr>
            <w:r>
              <w:rPr>
                <w:rFonts w:hint="eastAsia" w:ascii="Times New Roman" w:hAnsi="Times New Roman" w:eastAsia="方正书宋_GBK" w:cs="方正书宋_GBK"/>
              </w:rPr>
              <w:t>正处级</w:t>
            </w:r>
          </w:p>
        </w:tc>
        <w:tc>
          <w:tcPr>
            <w:tcW w:w="2902"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财政拨款</w:t>
            </w:r>
          </w:p>
        </w:tc>
      </w:tr>
    </w:tbl>
    <w:p>
      <w:pPr>
        <w:rPr>
          <w:rFonts w:cs="Times New Roman"/>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rPr>
          <w:rFonts w:ascii="仿宋" w:hAnsi="仿宋" w:eastAsia="仿宋" w:cs="Times New Roman"/>
          <w:sz w:val="32"/>
          <w:szCs w:val="32"/>
        </w:rPr>
      </w:pPr>
      <w:r>
        <w:rPr>
          <w:rFonts w:hint="eastAsia" w:ascii="仿宋" w:hAnsi="仿宋" w:eastAsia="仿宋" w:cs="仿宋"/>
          <w:sz w:val="32"/>
          <w:szCs w:val="32"/>
        </w:rPr>
        <w:t>按照预算管理有关规定，目前我部门预算的编制实行综合预算制度，即全部收入和支出都反映在预算中。我部门无下属单位，部门全部收支包含在部门预算中。</w:t>
      </w:r>
    </w:p>
    <w:p>
      <w:pPr>
        <w:ind w:firstLine="643" w:firstLineChars="20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ind w:firstLine="640"/>
        <w:rPr>
          <w:rFonts w:ascii="仿宋" w:hAnsi="仿宋" w:eastAsia="仿宋" w:cs="Times New Roman"/>
          <w:sz w:val="32"/>
          <w:szCs w:val="32"/>
        </w:rPr>
      </w:pPr>
      <w:r>
        <w:rPr>
          <w:rFonts w:hint="eastAsia" w:ascii="仿宋" w:hAnsi="仿宋" w:eastAsia="仿宋" w:cs="Times New Roman"/>
          <w:sz w:val="32"/>
          <w:szCs w:val="32"/>
        </w:rPr>
        <w:t>反映本部门当年全部收入。</w:t>
      </w:r>
      <w:r>
        <w:rPr>
          <w:rFonts w:ascii="仿宋" w:hAnsi="仿宋" w:eastAsia="仿宋" w:cs="仿宋"/>
          <w:sz w:val="32"/>
          <w:szCs w:val="32"/>
        </w:rPr>
        <w:t>201</w:t>
      </w:r>
      <w:r>
        <w:rPr>
          <w:rFonts w:hint="eastAsia" w:ascii="仿宋" w:hAnsi="仿宋" w:eastAsia="仿宋" w:cs="仿宋"/>
          <w:sz w:val="32"/>
          <w:szCs w:val="32"/>
        </w:rPr>
        <w:t>8年预算收入995.37万元，其中：一般公共预算收入995.37万元，基金预算收入</w:t>
      </w:r>
      <w:r>
        <w:rPr>
          <w:rFonts w:ascii="仿宋" w:hAnsi="仿宋" w:eastAsia="仿宋" w:cs="仿宋"/>
          <w:sz w:val="32"/>
          <w:szCs w:val="32"/>
        </w:rPr>
        <w:t>0</w:t>
      </w:r>
      <w:r>
        <w:rPr>
          <w:rFonts w:hint="eastAsia" w:ascii="仿宋" w:hAnsi="仿宋" w:eastAsia="仿宋" w:cs="仿宋"/>
          <w:sz w:val="32"/>
          <w:szCs w:val="32"/>
        </w:rPr>
        <w:t>万元，财政专户核拨收入0万元、其他来源收入0万元。</w:t>
      </w:r>
    </w:p>
    <w:p>
      <w:pPr>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ind w:firstLine="640"/>
        <w:rPr>
          <w:rFonts w:ascii="仿宋" w:hAnsi="仿宋" w:eastAsia="仿宋" w:cs="Times New Roman"/>
          <w:sz w:val="32"/>
          <w:szCs w:val="32"/>
        </w:rPr>
      </w:pPr>
      <w:r>
        <w:rPr>
          <w:rFonts w:hint="eastAsia" w:ascii="仿宋" w:hAnsi="仿宋" w:eastAsia="仿宋" w:cs="Times New Roman"/>
          <w:sz w:val="32"/>
          <w:szCs w:val="32"/>
        </w:rPr>
        <w:t>收支预算总表支出栏、基本支出表、项目支出表按经济分类和支出功能分类科目编制，反映本部门预算中支出预算的总体情况。</w:t>
      </w:r>
      <w:r>
        <w:rPr>
          <w:rFonts w:ascii="仿宋" w:hAnsi="仿宋" w:eastAsia="仿宋" w:cs="仿宋"/>
          <w:sz w:val="32"/>
          <w:szCs w:val="32"/>
        </w:rPr>
        <w:t>201</w:t>
      </w:r>
      <w:r>
        <w:rPr>
          <w:rFonts w:hint="eastAsia" w:ascii="仿宋" w:hAnsi="仿宋" w:eastAsia="仿宋" w:cs="仿宋"/>
          <w:sz w:val="32"/>
          <w:szCs w:val="32"/>
        </w:rPr>
        <w:t>8年支出预算995.37万元，其中基本支出837.37万元，具体为人员经费712.25万元、日常公用经费125.12万元；项目支出158万元，主要为代表联络站运行及管理工作经费、人代会经费、立法工作经费、代表学习考察及培训费、《人大工作通讯》编印经费、代表报刊征订费、人大之窗制作等。</w:t>
      </w:r>
    </w:p>
    <w:p>
      <w:pPr>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、比上年增减情况</w:t>
      </w:r>
    </w:p>
    <w:p>
      <w:pPr>
        <w:ind w:firstLine="640"/>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rPr>
        <w:t>8年预算收支安排995.37万元，较</w:t>
      </w:r>
      <w:r>
        <w:rPr>
          <w:rFonts w:ascii="仿宋" w:hAnsi="仿宋" w:eastAsia="仿宋" w:cs="仿宋"/>
          <w:sz w:val="32"/>
          <w:szCs w:val="32"/>
        </w:rPr>
        <w:t>201</w:t>
      </w:r>
      <w:r>
        <w:rPr>
          <w:rFonts w:hint="eastAsia" w:ascii="仿宋" w:hAnsi="仿宋" w:eastAsia="仿宋" w:cs="仿宋"/>
          <w:sz w:val="32"/>
          <w:szCs w:val="32"/>
        </w:rPr>
        <w:t>7年预算增加280.16万元，其中：基本支出增加252.56万元，主要为增加人员经费支出176.56万元，日常公用经费增加76万元；项目支出增加27.6万元，主要为代表联络站运行及管理工作经费。</w:t>
      </w:r>
    </w:p>
    <w:p>
      <w:pPr>
        <w:ind w:firstLine="640" w:firstLineChars="200"/>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仿宋"/>
          <w:sz w:val="32"/>
          <w:szCs w:val="32"/>
        </w:rPr>
        <w:t>机关运行经费共计安排125.12万元，主要用于人大办公区的日常维修、印刷费，邮电费、差旅费、会议费、福利费、日常维护费、水电费、办公用房取暖费、公务用车运行维护费等日常运行支出。</w:t>
      </w:r>
    </w:p>
    <w:p>
      <w:pPr>
        <w:ind w:firstLine="640"/>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rPr>
        <w:t>8年，我单位“三公”经费预算安排</w:t>
      </w:r>
      <w:r>
        <w:rPr>
          <w:rFonts w:hint="eastAsia" w:ascii="仿宋" w:hAnsi="仿宋" w:eastAsia="仿宋" w:cs="仿宋"/>
          <w:color w:val="000000"/>
          <w:sz w:val="32"/>
          <w:szCs w:val="32"/>
        </w:rPr>
        <w:t>19.4</w:t>
      </w:r>
      <w:r>
        <w:rPr>
          <w:rFonts w:hint="eastAsia" w:ascii="仿宋" w:hAnsi="仿宋" w:eastAsia="仿宋" w:cs="仿宋"/>
          <w:sz w:val="32"/>
          <w:szCs w:val="32"/>
        </w:rPr>
        <w:t>万元，其中因公出国（境）费</w:t>
      </w:r>
      <w:r>
        <w:rPr>
          <w:rFonts w:ascii="仿宋" w:hAnsi="仿宋" w:eastAsia="仿宋" w:cs="仿宋"/>
          <w:sz w:val="32"/>
          <w:szCs w:val="32"/>
        </w:rPr>
        <w:t>0</w:t>
      </w:r>
      <w:r>
        <w:rPr>
          <w:rFonts w:hint="eastAsia" w:ascii="仿宋" w:hAnsi="仿宋" w:eastAsia="仿宋" w:cs="仿宋"/>
          <w:sz w:val="32"/>
          <w:szCs w:val="32"/>
        </w:rPr>
        <w:t>万元；公务用车购置及运维费14.4万元（其中：公务用车购置费为</w:t>
      </w:r>
      <w:r>
        <w:rPr>
          <w:rFonts w:ascii="仿宋" w:hAnsi="仿宋" w:eastAsia="仿宋" w:cs="仿宋"/>
          <w:sz w:val="32"/>
          <w:szCs w:val="32"/>
        </w:rPr>
        <w:t>0</w:t>
      </w:r>
      <w:r>
        <w:rPr>
          <w:rFonts w:hint="eastAsia" w:ascii="仿宋" w:hAnsi="仿宋" w:eastAsia="仿宋" w:cs="仿宋"/>
          <w:sz w:val="32"/>
          <w:szCs w:val="32"/>
        </w:rPr>
        <w:t>，公务用车运行费14.4万元</w:t>
      </w:r>
      <w:r>
        <w:rPr>
          <w:rFonts w:ascii="仿宋" w:hAnsi="仿宋" w:eastAsia="仿宋" w:cs="仿宋"/>
          <w:sz w:val="32"/>
          <w:szCs w:val="32"/>
        </w:rPr>
        <w:t>)</w:t>
      </w:r>
      <w:r>
        <w:rPr>
          <w:rFonts w:hint="eastAsia" w:ascii="仿宋" w:hAnsi="仿宋" w:eastAsia="仿宋" w:cs="仿宋"/>
          <w:sz w:val="32"/>
          <w:szCs w:val="32"/>
        </w:rPr>
        <w:t>；公务接待费</w:t>
      </w:r>
      <w:r>
        <w:rPr>
          <w:rFonts w:ascii="仿宋" w:hAnsi="仿宋" w:eastAsia="仿宋" w:cs="仿宋"/>
          <w:color w:val="000000"/>
          <w:sz w:val="32"/>
          <w:szCs w:val="32"/>
        </w:rPr>
        <w:t>5</w:t>
      </w:r>
      <w:r>
        <w:rPr>
          <w:rFonts w:hint="eastAsia" w:ascii="仿宋" w:hAnsi="仿宋" w:eastAsia="仿宋" w:cs="仿宋"/>
          <w:sz w:val="32"/>
          <w:szCs w:val="32"/>
        </w:rPr>
        <w:t>万元。与</w:t>
      </w:r>
      <w:r>
        <w:rPr>
          <w:rFonts w:ascii="仿宋" w:hAnsi="仿宋" w:eastAsia="仿宋" w:cs="仿宋"/>
          <w:sz w:val="32"/>
          <w:szCs w:val="32"/>
        </w:rPr>
        <w:t>201</w:t>
      </w:r>
      <w:r>
        <w:rPr>
          <w:rFonts w:hint="eastAsia" w:ascii="仿宋" w:hAnsi="仿宋" w:eastAsia="仿宋" w:cs="仿宋"/>
          <w:sz w:val="32"/>
          <w:szCs w:val="32"/>
        </w:rPr>
        <w:t>7年减少15.35万元，主要原因是</w:t>
      </w:r>
      <w:r>
        <w:rPr>
          <w:rFonts w:hint="eastAsia" w:ascii="仿宋" w:hAnsi="仿宋" w:eastAsia="仿宋" w:cs="仿宋"/>
          <w:color w:val="000000"/>
          <w:sz w:val="32"/>
          <w:szCs w:val="32"/>
        </w:rPr>
        <w:t>因为认真贯彻落实八项规定要求，厉行节约、严格控制支出。实施公务用车制度改革，加公务用车管理，规范公务接待活动等，使得“三公”经费各单项支出均明显下降。</w:t>
      </w:r>
    </w:p>
    <w:p>
      <w:pPr>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ind w:firstLine="643" w:firstLineChars="200"/>
        <w:jc w:val="left"/>
        <w:rPr>
          <w:rFonts w:ascii="楷体" w:hAnsi="楷体" w:eastAsia="楷体" w:cs="Times New Roman"/>
          <w:b/>
          <w:bCs/>
          <w:sz w:val="32"/>
          <w:szCs w:val="32"/>
        </w:rPr>
      </w:pPr>
      <w:bookmarkStart w:id="0" w:name="_Toc471398463"/>
      <w:r>
        <w:rPr>
          <w:rFonts w:hint="eastAsia" w:ascii="楷体" w:hAnsi="楷体" w:eastAsia="楷体" w:cs="楷体"/>
          <w:b/>
          <w:bCs/>
          <w:sz w:val="32"/>
          <w:szCs w:val="32"/>
        </w:rPr>
        <w:t>总体绩效目标：</w:t>
      </w:r>
    </w:p>
    <w:p>
      <w:pPr>
        <w:spacing w:line="560" w:lineRule="exact"/>
        <w:jc w:val="left"/>
        <w:rPr>
          <w:rFonts w:ascii="仿宋" w:hAnsi="仿宋" w:eastAsia="仿宋" w:cs="Times New Roman"/>
          <w:b/>
          <w:bCs/>
          <w:sz w:val="32"/>
          <w:szCs w:val="32"/>
        </w:rPr>
      </w:pPr>
      <w:r>
        <w:rPr>
          <w:rFonts w:ascii="仿宋" w:hAnsi="仿宋" w:eastAsia="仿宋" w:cs="仿宋"/>
          <w:b/>
          <w:bCs/>
          <w:sz w:val="32"/>
          <w:szCs w:val="32"/>
        </w:rPr>
        <w:t xml:space="preserve">    1</w:t>
      </w:r>
      <w:r>
        <w:rPr>
          <w:rFonts w:hint="eastAsia" w:ascii="仿宋" w:hAnsi="仿宋" w:eastAsia="仿宋" w:cs="仿宋"/>
          <w:b/>
          <w:bCs/>
          <w:sz w:val="32"/>
          <w:szCs w:val="32"/>
        </w:rPr>
        <w:t>、年度发展规划目标</w:t>
      </w:r>
    </w:p>
    <w:p>
      <w:pPr>
        <w:pStyle w:val="12"/>
        <w:spacing w:after="0" w:afterAutospacing="0" w:line="560" w:lineRule="exact"/>
        <w:ind w:firstLine="627" w:firstLineChars="196"/>
        <w:jc w:val="both"/>
        <w:rPr>
          <w:rFonts w:ascii="仿宋" w:hAnsi="仿宋" w:eastAsia="仿宋" w:cs="仿宋"/>
          <w:kern w:val="2"/>
        </w:rPr>
      </w:pPr>
    </w:p>
    <w:p>
      <w:pPr>
        <w:pStyle w:val="12"/>
        <w:spacing w:after="0" w:afterAutospacing="0" w:line="560" w:lineRule="exact"/>
        <w:ind w:firstLine="627" w:firstLineChars="196"/>
        <w:jc w:val="both"/>
        <w:rPr>
          <w:rFonts w:ascii="仿宋" w:hAnsi="仿宋" w:eastAsia="仿宋" w:cs="仿宋"/>
          <w:kern w:val="2"/>
        </w:rPr>
      </w:pPr>
      <w:r>
        <w:rPr>
          <w:rFonts w:hint="eastAsia" w:ascii="仿宋" w:hAnsi="仿宋" w:eastAsia="仿宋" w:cs="仿宋"/>
        </w:rPr>
        <w:t>●</w:t>
      </w:r>
      <w:r>
        <w:rPr>
          <w:rFonts w:ascii="仿宋" w:hAnsi="仿宋" w:eastAsia="仿宋" w:cs="仿宋"/>
          <w:kern w:val="2"/>
        </w:rPr>
        <w:t>完善自治地方法规体系</w:t>
      </w:r>
      <w:r>
        <w:rPr>
          <w:rFonts w:hint="eastAsia" w:ascii="仿宋" w:hAnsi="仿宋" w:eastAsia="仿宋" w:cs="仿宋"/>
          <w:kern w:val="2"/>
        </w:rPr>
        <w:t>。</w:t>
      </w:r>
      <w:r>
        <w:rPr>
          <w:rFonts w:ascii="仿宋" w:hAnsi="仿宋" w:eastAsia="仿宋" w:cs="仿宋"/>
          <w:kern w:val="2"/>
        </w:rPr>
        <w:t>紧紧围绕民族团结、生态优先的总原则和文化产业、全域旅游两大抓手，加快推进《大厂回族自治县环境保护条例》修订和《大厂回族自治县全域旅游条例》《大厂回族自治县清真食品管理条例》</w:t>
      </w:r>
      <w:r>
        <w:rPr>
          <w:rFonts w:hint="eastAsia" w:ascii="仿宋" w:hAnsi="仿宋" w:eastAsia="仿宋" w:cs="仿宋"/>
          <w:kern w:val="2"/>
          <w:lang w:eastAsia="zh-CN"/>
        </w:rPr>
        <w:t>制定</w:t>
      </w:r>
      <w:r>
        <w:rPr>
          <w:rFonts w:ascii="仿宋" w:hAnsi="仿宋" w:eastAsia="仿宋" w:cs="仿宋"/>
          <w:kern w:val="2"/>
        </w:rPr>
        <w:t>工作，完善自治地方法规体系，以良法促发展</w:t>
      </w:r>
      <w:r>
        <w:rPr>
          <w:rFonts w:hint="eastAsia" w:ascii="仿宋" w:hAnsi="仿宋" w:eastAsia="仿宋" w:cs="仿宋"/>
          <w:kern w:val="2"/>
        </w:rPr>
        <w:t>、</w:t>
      </w:r>
      <w:r>
        <w:rPr>
          <w:rFonts w:ascii="仿宋" w:hAnsi="仿宋" w:eastAsia="仿宋" w:cs="仿宋"/>
          <w:kern w:val="2"/>
        </w:rPr>
        <w:t>保善治。</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依法决定重大事项。要着眼加快建设经济强县、美丽大厂的战略部署，及时就县委重点决策、政府着力推进的重大事项依法作出决定。</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●改进文风会风，提高常委会议事质量。常委会会议议题要在听取群众意见的基础上依法确定，加强会前的视察调研，严格落实议事规则，完善审议程序，切实提出有针对性的意见建议。</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●做好会议的服务保障工作，确保会议顺利进行，达到预期目标。</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●发挥好常委会组成人员、专门委员会委员和代表的履职积极性。密切对代表的联系，组织专门委员会成员、代表列席常委会会议，坚持向代表通报常委会会议情况。</w:t>
      </w:r>
    </w:p>
    <w:p>
      <w:pPr>
        <w:ind w:firstLine="560"/>
        <w:rPr>
          <w:rFonts w:ascii="仿宋" w:hAnsi="仿宋" w:eastAsia="仿宋" w:cs="仿宋"/>
          <w:sz w:val="32"/>
          <w:szCs w:val="32"/>
        </w:rPr>
      </w:pPr>
      <w:r>
        <w:rPr>
          <w:rFonts w:hint="eastAsia" w:ascii="仿宋" w:hAnsi="仿宋" w:eastAsia="仿宋" w:cs="仿宋"/>
          <w:sz w:val="32"/>
          <w:szCs w:val="32"/>
        </w:rPr>
        <w:t>●加强对权力运行的制约监督，推动县委重大决策部署的贯彻落实。围绕新时代经济强县、美丽大厂中的重大问题和人民群众关注的热点难点问题，听取审议专项工作报告，开展执法检查、视察调研。</w:t>
      </w:r>
    </w:p>
    <w:p>
      <w:pPr>
        <w:ind w:firstLine="56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依法行使选举任免权。要坚持把党管干部和人大依法任免有机统一，严格任免程序，依法选举、任免地方国家机关工作人员，确保县委人事安排圆满实现。</w:t>
      </w:r>
      <w:r>
        <w:rPr>
          <w:rFonts w:hint="eastAsia" w:ascii="仿宋" w:hAnsi="仿宋" w:eastAsia="仿宋" w:cs="仿宋"/>
          <w:sz w:val="32"/>
          <w:szCs w:val="32"/>
        </w:rPr>
        <w:t>同时，</w:t>
      </w:r>
      <w:r>
        <w:rPr>
          <w:rFonts w:ascii="仿宋" w:hAnsi="仿宋" w:eastAsia="仿宋" w:cs="仿宋"/>
          <w:sz w:val="32"/>
          <w:szCs w:val="32"/>
        </w:rPr>
        <w:t>深化任后履职监督，有计划地安排述职评议工作，促进国家机关工作人员依法行政、秉公执法、廉洁勤政。</w:t>
      </w:r>
    </w:p>
    <w:p>
      <w:pPr>
        <w:ind w:firstLine="640" w:firstLineChars="200"/>
        <w:rPr>
          <w:rFonts w:ascii="仿宋" w:hAnsi="仿宋" w:eastAsia="仿宋" w:cs="仿宋"/>
          <w:sz w:val="32"/>
          <w:szCs w:val="32"/>
        </w:rPr>
      </w:pPr>
      <w:r>
        <w:rPr>
          <w:rFonts w:hint="eastAsia" w:ascii="仿宋" w:hAnsi="仿宋" w:eastAsia="仿宋" w:cs="仿宋"/>
          <w:sz w:val="32"/>
          <w:szCs w:val="32"/>
        </w:rPr>
        <w:t>●全面推进机关思想建设、组织建设、作风建设、制度建设和廉政建设，提高机关管理的科学化水平。</w:t>
      </w:r>
    </w:p>
    <w:p>
      <w:pPr>
        <w:spacing w:line="560" w:lineRule="exact"/>
        <w:ind w:firstLine="643" w:firstLineChars="200"/>
        <w:jc w:val="left"/>
        <w:rPr>
          <w:rFonts w:ascii="仿宋" w:hAnsi="仿宋" w:eastAsia="仿宋" w:cs="Times New Roman"/>
          <w:b/>
          <w:bCs/>
          <w:sz w:val="32"/>
          <w:szCs w:val="32"/>
        </w:rPr>
      </w:pPr>
      <w:r>
        <w:rPr>
          <w:rFonts w:ascii="仿宋" w:hAnsi="仿宋" w:eastAsia="仿宋" w:cs="仿宋"/>
          <w:b/>
          <w:bCs/>
          <w:sz w:val="32"/>
          <w:szCs w:val="32"/>
        </w:rPr>
        <w:t>2</w:t>
      </w:r>
      <w:r>
        <w:rPr>
          <w:rFonts w:hint="eastAsia" w:ascii="仿宋" w:hAnsi="仿宋" w:eastAsia="仿宋" w:cs="仿宋"/>
          <w:b/>
          <w:bCs/>
          <w:sz w:val="32"/>
          <w:szCs w:val="32"/>
        </w:rPr>
        <w:t>、职责分类绩效目标</w:t>
      </w:r>
    </w:p>
    <w:p>
      <w:pPr>
        <w:ind w:firstLine="560"/>
        <w:rPr>
          <w:rFonts w:ascii="仿宋" w:hAnsi="仿宋" w:eastAsia="仿宋" w:cs="仿宋"/>
          <w:sz w:val="32"/>
          <w:szCs w:val="32"/>
        </w:rPr>
      </w:pPr>
      <w:r>
        <w:rPr>
          <w:rFonts w:hint="eastAsia" w:ascii="仿宋" w:hAnsi="仿宋" w:eastAsia="仿宋" w:cs="仿宋"/>
          <w:sz w:val="32"/>
          <w:szCs w:val="32"/>
        </w:rPr>
        <w:t>●立法方面：按照大厂县第十六届人民代表大会常务委员五年立法规划和2018年立法计划。对新立和拟进行修订的法规进行立法调研。对现行有效的地方性法规进行认真梳理，查找与科学发展不适应、不一致、不协调的问题，及时进行废止或修改。促进立法交流与合作，提高立法人员业务水平，促进立法工作的科学化、民主化，不断提高立法质量和水平。</w:t>
      </w:r>
    </w:p>
    <w:p>
      <w:pPr>
        <w:ind w:firstLine="560"/>
        <w:rPr>
          <w:rFonts w:ascii="仿宋" w:hAnsi="仿宋" w:eastAsia="仿宋" w:cs="仿宋"/>
          <w:sz w:val="32"/>
          <w:szCs w:val="32"/>
        </w:rPr>
      </w:pPr>
      <w:r>
        <w:rPr>
          <w:rFonts w:hint="eastAsia" w:ascii="仿宋" w:hAnsi="仿宋" w:eastAsia="仿宋" w:cs="仿宋"/>
          <w:sz w:val="32"/>
          <w:szCs w:val="32"/>
        </w:rPr>
        <w:t>●监督方面：听取计划预算执行情况报告、决算报告和审计工作报告，审查批准决算，推动县人代会计划预算决议的落实。听取县政府专项工作报告。对社会普遍关心的问题组织开展专题询问。组织开展代表旁听评议人民法院庭审活动，督促司法机关完善内部监督制约机制，促进司法公正。提高法规质量，保障其有效实施；发挥常委及代表的桥梁纽带作用，集中反映民意，促进依法履职。</w:t>
      </w:r>
    </w:p>
    <w:p>
      <w:pPr>
        <w:ind w:firstLine="560"/>
        <w:rPr>
          <w:rFonts w:ascii="仿宋" w:hAnsi="仿宋" w:eastAsia="仿宋" w:cs="仿宋"/>
          <w:sz w:val="32"/>
          <w:szCs w:val="32"/>
        </w:rPr>
      </w:pPr>
      <w:r>
        <w:rPr>
          <w:rFonts w:hint="eastAsia" w:ascii="仿宋" w:hAnsi="仿宋" w:eastAsia="仿宋" w:cs="仿宋"/>
          <w:sz w:val="32"/>
          <w:szCs w:val="32"/>
        </w:rPr>
        <w:t>●人大会议方面：确保会议按照议程顺利进行，达到预期目的，圆满完成各项任务。完善各项会议制度，规范会议程序，提高会议质量，提高人大代表及常委会审议水平。</w:t>
      </w:r>
    </w:p>
    <w:p>
      <w:pPr>
        <w:ind w:firstLine="560"/>
        <w:rPr>
          <w:rFonts w:ascii="仿宋" w:hAnsi="仿宋" w:eastAsia="仿宋" w:cs="仿宋"/>
          <w:sz w:val="32"/>
          <w:szCs w:val="32"/>
        </w:rPr>
      </w:pPr>
      <w:r>
        <w:rPr>
          <w:rFonts w:hint="eastAsia" w:ascii="仿宋" w:hAnsi="仿宋" w:eastAsia="仿宋" w:cs="仿宋"/>
          <w:sz w:val="32"/>
          <w:szCs w:val="32"/>
        </w:rPr>
        <w:t>●人事任免方面：严格遵循法律法规规定，严格规范工作程序，做好人事任免工作。确保县乡人大换届选举工作顺利完成，提高组织换届选举工作水平；高质量完成国家机关领导人选举和常委会人事任免服务工作；高效督办有关部门负责人的目标责任书和述职报告。</w:t>
      </w:r>
    </w:p>
    <w:p>
      <w:pPr>
        <w:ind w:firstLine="560"/>
        <w:rPr>
          <w:rFonts w:ascii="仿宋" w:hAnsi="仿宋" w:eastAsia="仿宋" w:cs="仿宋"/>
          <w:sz w:val="32"/>
          <w:szCs w:val="32"/>
        </w:rPr>
      </w:pPr>
      <w:r>
        <w:rPr>
          <w:rFonts w:hint="eastAsia" w:ascii="仿宋" w:hAnsi="仿宋" w:eastAsia="仿宋" w:cs="仿宋"/>
          <w:sz w:val="32"/>
          <w:szCs w:val="32"/>
        </w:rPr>
        <w:t>●人大事务管理方面：（1）保障新闻宣传与新闻发布工作正常开展，提高人大信息透明度和影响力，加强人大对内、对外交流。保障会议表决系统正常运转；网络与办公平台正常运行；促进社会和谐稳定。（2）机关基础设施设备正常运转，信息化保障、老干部服务保障能力进一步提高。</w:t>
      </w:r>
    </w:p>
    <w:p>
      <w:pPr>
        <w:spacing w:line="560" w:lineRule="exact"/>
        <w:jc w:val="left"/>
        <w:rPr>
          <w:rFonts w:ascii="仿宋" w:hAnsi="仿宋" w:eastAsia="仿宋" w:cs="Times New Roman"/>
          <w:b/>
          <w:bCs/>
          <w:sz w:val="32"/>
          <w:szCs w:val="32"/>
        </w:rPr>
      </w:pPr>
      <w:r>
        <w:rPr>
          <w:rFonts w:ascii="仿宋" w:hAnsi="仿宋" w:eastAsia="仿宋" w:cs="仿宋"/>
          <w:b/>
          <w:bCs/>
          <w:sz w:val="32"/>
          <w:szCs w:val="32"/>
        </w:rPr>
        <w:t xml:space="preserve">    3</w:t>
      </w:r>
      <w:r>
        <w:rPr>
          <w:rFonts w:hint="eastAsia" w:ascii="仿宋" w:hAnsi="仿宋" w:eastAsia="仿宋" w:cs="仿宋"/>
          <w:b/>
          <w:bCs/>
          <w:sz w:val="32"/>
          <w:szCs w:val="32"/>
        </w:rPr>
        <w:t>、实现年度发展规划目标的保障措施</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●按照五年立法规划和2018年工作计划，认真搞好立法调研，使立法更加切合我县实际，让出台的法律法规更接地气、更具可操作性。</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●进一步提高执法检查和执法调研的质量，提高执法检查和执法调研的效果，促进我县经济和社会又好又快发展。</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●进一步加强人大的监督工作，确保宪法和法律在我县范围内有效实施。</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●改善和加强工作评议和专题询问工作，使一府两院的工作始终在法治的框架内运行。</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●进一步加强代表工作，保证代表依法履职。</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●进一步完善会议的组织和筹备工作，使会议高效、节俭，按照既定程序有序进行。</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●进一步完善机关后勤服务工作，为机关正常运转提供有力的保障。</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部门职责及工作活动绩效目标指标：</w:t>
      </w:r>
    </w:p>
    <w:p>
      <w:pPr>
        <w:jc w:val="center"/>
        <w:outlineLvl w:val="0"/>
        <w:rPr>
          <w:rFonts w:ascii="方正小标宋_GBK" w:hAnsi="Times New Roman" w:eastAsia="方正小标宋_GBK" w:cs="方正小标宋_GBK"/>
          <w:sz w:val="32"/>
          <w:szCs w:val="32"/>
        </w:rPr>
      </w:pPr>
      <w:r>
        <w:rPr>
          <w:rFonts w:hint="eastAsia" w:ascii="方正小标宋_GBK" w:hAnsi="Times New Roman" w:eastAsia="方正小标宋_GBK" w:cs="方正小标宋_GBK"/>
          <w:sz w:val="32"/>
          <w:szCs w:val="32"/>
        </w:rPr>
        <w:t>部门职责</w:t>
      </w:r>
      <w:r>
        <w:rPr>
          <w:rFonts w:ascii="方正小标宋_GBK" w:hAnsi="Times New Roman" w:eastAsia="方正小标宋_GBK" w:cs="方正小标宋_GBK"/>
          <w:sz w:val="32"/>
          <w:szCs w:val="32"/>
        </w:rPr>
        <w:t>-</w:t>
      </w:r>
      <w:r>
        <w:rPr>
          <w:rFonts w:hint="eastAsia" w:ascii="方正小标宋_GBK" w:hAnsi="Times New Roman" w:eastAsia="方正小标宋_GBK" w:cs="方正小标宋_GBK"/>
          <w:sz w:val="32"/>
          <w:szCs w:val="32"/>
        </w:rPr>
        <w:t>工作活动绩效目标</w:t>
      </w:r>
      <w:bookmarkEnd w:id="0"/>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892"/>
        <w:gridCol w:w="3402"/>
        <w:gridCol w:w="1134"/>
        <w:gridCol w:w="678"/>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045"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101</w:t>
            </w:r>
            <w:r>
              <w:rPr>
                <w:rFonts w:hint="eastAsia" w:ascii="方正小标宋_GBK" w:eastAsia="方正小标宋_GBK"/>
                <w:sz w:val="24"/>
              </w:rPr>
              <w:t>大厂回族自治县人民代表大会常务委员会</w:t>
            </w:r>
          </w:p>
        </w:tc>
        <w:tc>
          <w:tcPr>
            <w:tcW w:w="2889"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340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89"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892" w:type="dxa"/>
            <w:vMerge w:val="continue"/>
            <w:shd w:val="clear" w:color="auto" w:fill="auto"/>
            <w:vAlign w:val="center"/>
          </w:tcPr>
          <w:p>
            <w:pPr>
              <w:spacing w:line="300" w:lineRule="exact"/>
              <w:jc w:val="left"/>
              <w:outlineLvl w:val="0"/>
            </w:pPr>
          </w:p>
        </w:tc>
        <w:tc>
          <w:tcPr>
            <w:tcW w:w="3402" w:type="dxa"/>
            <w:vMerge w:val="continue"/>
            <w:shd w:val="clear" w:color="auto" w:fill="auto"/>
            <w:vAlign w:val="center"/>
          </w:tcPr>
          <w:p>
            <w:pPr>
              <w:spacing w:line="300" w:lineRule="exact"/>
              <w:jc w:val="left"/>
              <w:outlineLvl w:val="0"/>
            </w:pPr>
          </w:p>
        </w:tc>
        <w:tc>
          <w:tcPr>
            <w:tcW w:w="1134" w:type="dxa"/>
            <w:vMerge w:val="continue"/>
            <w:shd w:val="clear" w:color="auto" w:fill="auto"/>
            <w:vAlign w:val="center"/>
          </w:tcPr>
          <w:p>
            <w:pPr>
              <w:spacing w:line="300" w:lineRule="exact"/>
              <w:jc w:val="left"/>
              <w:outlineLvl w:val="0"/>
            </w:pPr>
          </w:p>
        </w:tc>
        <w:tc>
          <w:tcPr>
            <w:tcW w:w="67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一、人大监督</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64.00</w:t>
            </w:r>
          </w:p>
        </w:tc>
        <w:tc>
          <w:tcPr>
            <w:tcW w:w="28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进行执法检查；围绕政府工作报告内容开展调查研究，开展专题询问和工作评议；对</w:t>
            </w:r>
            <w:r>
              <w:rPr>
                <w:rFonts w:hint="cs" w:ascii="方正书宋_GBK" w:eastAsia="方正书宋_GBK"/>
              </w:rPr>
              <w:t>“</w:t>
            </w:r>
            <w:r>
              <w:rPr>
                <w:rFonts w:hint="eastAsia" w:ascii="方正书宋_GBK" w:eastAsia="方正书宋_GBK"/>
              </w:rPr>
              <w:t>一府两院</w:t>
            </w:r>
            <w:r>
              <w:rPr>
                <w:rFonts w:hint="cs" w:ascii="方正书宋_GBK" w:eastAsia="方正书宋_GBK"/>
              </w:rPr>
              <w:t>”</w:t>
            </w:r>
            <w:r>
              <w:rPr>
                <w:rFonts w:hint="eastAsia" w:ascii="方正书宋_GBK" w:eastAsia="方正书宋_GBK"/>
              </w:rPr>
              <w:t>进行监督。</w:t>
            </w:r>
          </w:p>
        </w:tc>
        <w:tc>
          <w:tcPr>
            <w:tcW w:w="3402"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、监督宪法和法律在我县县行政区域内正确实施。</w:t>
            </w:r>
            <w:r>
              <w:rPr>
                <w:rFonts w:ascii="方正书宋_GBK" w:eastAsia="方正书宋_GBK"/>
              </w:rPr>
              <w:t>2</w:t>
            </w:r>
            <w:r>
              <w:rPr>
                <w:rFonts w:hint="eastAsia" w:ascii="方正书宋_GBK" w:eastAsia="方正书宋_GBK"/>
              </w:rPr>
              <w:t>、监督一府两院依法开展工作。</w:t>
            </w:r>
            <w:r>
              <w:rPr>
                <w:rFonts w:ascii="方正书宋_GBK" w:eastAsia="方正书宋_GBK"/>
              </w:rPr>
              <w:t>3</w:t>
            </w:r>
            <w:r>
              <w:rPr>
                <w:rFonts w:hint="eastAsia" w:ascii="方正书宋_GBK" w:eastAsia="方正书宋_GBK"/>
              </w:rPr>
              <w:t>、监督县本级预算按照县代会通过的预算有效实施。</w:t>
            </w:r>
            <w:r>
              <w:rPr>
                <w:rFonts w:ascii="方正书宋_GBK" w:eastAsia="方正书宋_GBK"/>
              </w:rPr>
              <w:t>4</w:t>
            </w:r>
            <w:r>
              <w:rPr>
                <w:rFonts w:hint="eastAsia" w:ascii="方正书宋_GBK" w:eastAsia="方正书宋_GBK"/>
              </w:rPr>
              <w:t>、监督经济和社会发展计划有效实施。</w:t>
            </w:r>
          </w:p>
        </w:tc>
        <w:tc>
          <w:tcPr>
            <w:tcW w:w="1134" w:type="dxa"/>
            <w:shd w:val="clear" w:color="auto" w:fill="auto"/>
            <w:vAlign w:val="center"/>
          </w:tcPr>
          <w:p>
            <w:pPr>
              <w:spacing w:line="300" w:lineRule="exact"/>
              <w:jc w:val="left"/>
              <w:rPr>
                <w:rFonts w:ascii="方正书宋_GBK" w:eastAsia="方正书宋_GBK"/>
              </w:rPr>
            </w:pPr>
          </w:p>
        </w:tc>
        <w:tc>
          <w:tcPr>
            <w:tcW w:w="678"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、专门委员会、常委及人大代表活动</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64.00</w:t>
            </w:r>
          </w:p>
        </w:tc>
        <w:tc>
          <w:tcPr>
            <w:tcW w:w="2892"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组织专门委员会委员对法律实施情况进行检查；组织县人大常委</w:t>
            </w:r>
            <w:r>
              <w:rPr>
                <w:rFonts w:hint="eastAsia" w:ascii="方正书宋_GBK" w:eastAsia="方正书宋_GBK"/>
                <w:lang w:eastAsia="zh-CN"/>
              </w:rPr>
              <w:t>会委员</w:t>
            </w:r>
            <w:r>
              <w:rPr>
                <w:rFonts w:hint="eastAsia" w:ascii="方正书宋_GBK" w:eastAsia="方正书宋_GBK"/>
              </w:rPr>
              <w:t>及县人大代表进行执法检查和集中视察；开展代表建议督办；组织对</w:t>
            </w:r>
            <w:r>
              <w:rPr>
                <w:rFonts w:hint="eastAsia" w:ascii="方正书宋_GBK" w:eastAsia="方正书宋_GBK"/>
                <w:lang w:eastAsia="zh-CN"/>
              </w:rPr>
              <w:t>县人大</w:t>
            </w:r>
            <w:r>
              <w:rPr>
                <w:rFonts w:hint="eastAsia" w:ascii="方正书宋_GBK" w:eastAsia="方正书宋_GBK"/>
              </w:rPr>
              <w:t>常委</w:t>
            </w:r>
            <w:r>
              <w:rPr>
                <w:rFonts w:hint="eastAsia" w:ascii="方正书宋_GBK" w:eastAsia="方正书宋_GBK"/>
                <w:lang w:eastAsia="zh-CN"/>
              </w:rPr>
              <w:t>会委员</w:t>
            </w:r>
            <w:r>
              <w:rPr>
                <w:rFonts w:hint="eastAsia" w:ascii="方正书宋_GBK" w:eastAsia="方正书宋_GBK"/>
              </w:rPr>
              <w:t>及</w:t>
            </w:r>
            <w:r>
              <w:rPr>
                <w:rFonts w:hint="eastAsia" w:ascii="方正书宋_GBK" w:eastAsia="方正书宋_GBK"/>
                <w:lang w:eastAsia="zh-CN"/>
              </w:rPr>
              <w:t>人大</w:t>
            </w:r>
            <w:r>
              <w:rPr>
                <w:rFonts w:hint="eastAsia" w:ascii="方正书宋_GBK" w:eastAsia="方正书宋_GBK"/>
              </w:rPr>
              <w:t>代表培训；组织代表运用代表联络站平台开展活动。</w:t>
            </w:r>
          </w:p>
        </w:tc>
        <w:tc>
          <w:tcPr>
            <w:tcW w:w="3402"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执法检查和集中视察完成率</w:t>
            </w:r>
          </w:p>
        </w:tc>
        <w:tc>
          <w:tcPr>
            <w:tcW w:w="678"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92"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培训计划完成率</w:t>
            </w:r>
          </w:p>
        </w:tc>
        <w:tc>
          <w:tcPr>
            <w:tcW w:w="678"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二、人大会议</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28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县人民代表大会和常务委员会各种会议的筹备、会务工作，负责常委会文件起草、审核把关，常委会会议、主任会议及常委会党组会议决定事项、工作部署、重要文件及领导批示的传达和督办。</w:t>
            </w:r>
          </w:p>
        </w:tc>
        <w:tc>
          <w:tcPr>
            <w:tcW w:w="3402"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、在人大代表和县人大常委</w:t>
            </w:r>
            <w:r>
              <w:rPr>
                <w:rFonts w:hint="eastAsia" w:ascii="方正书宋_GBK" w:eastAsia="方正书宋_GBK"/>
                <w:lang w:eastAsia="zh-CN"/>
              </w:rPr>
              <w:t>会委员</w:t>
            </w:r>
            <w:bookmarkStart w:id="2" w:name="_GoBack"/>
            <w:bookmarkEnd w:id="2"/>
            <w:r>
              <w:rPr>
                <w:rFonts w:hint="eastAsia" w:ascii="方正书宋_GBK" w:eastAsia="方正书宋_GBK"/>
              </w:rPr>
              <w:t>充分发表审议意见的基础上，作出我县县经济社会发展计划、县总预算和县本级预算等决议。</w:t>
            </w:r>
            <w:r>
              <w:rPr>
                <w:rFonts w:ascii="方正书宋_GBK" w:eastAsia="方正书宋_GBK"/>
              </w:rPr>
              <w:t>2</w:t>
            </w:r>
            <w:r>
              <w:rPr>
                <w:rFonts w:hint="eastAsia" w:ascii="方正书宋_GBK" w:eastAsia="方正书宋_GBK"/>
              </w:rPr>
              <w:t>、通过听取和审议一府两院等工作报告，作出有关报告的决议。</w:t>
            </w:r>
            <w:r>
              <w:rPr>
                <w:rFonts w:ascii="方正书宋_GBK" w:eastAsia="方正书宋_GBK"/>
              </w:rPr>
              <w:t>3</w:t>
            </w:r>
            <w:r>
              <w:rPr>
                <w:rFonts w:hint="eastAsia" w:ascii="方正书宋_GBK" w:eastAsia="方正书宋_GBK"/>
              </w:rPr>
              <w:t>、通过质询、专题询问和工作评议的方式就一府两院的工作进行监督。</w:t>
            </w:r>
            <w:r>
              <w:rPr>
                <w:rFonts w:ascii="方正书宋_GBK" w:eastAsia="方正书宋_GBK"/>
              </w:rPr>
              <w:t>4</w:t>
            </w:r>
            <w:r>
              <w:rPr>
                <w:rFonts w:hint="eastAsia" w:ascii="方正书宋_GBK" w:eastAsia="方正书宋_GBK"/>
              </w:rPr>
              <w:t>、为保证我县重大决策的科学性和法定性，实施作出有关我县重大问题的决定。</w:t>
            </w:r>
            <w:r>
              <w:rPr>
                <w:rFonts w:ascii="方正书宋_GBK" w:eastAsia="方正书宋_GBK"/>
              </w:rPr>
              <w:t>5</w:t>
            </w:r>
            <w:r>
              <w:rPr>
                <w:rFonts w:hint="eastAsia" w:ascii="方正书宋_GBK" w:eastAsia="方正书宋_GBK"/>
              </w:rPr>
              <w:t>、高效、精细的筹备县人大会。</w:t>
            </w:r>
          </w:p>
        </w:tc>
        <w:tc>
          <w:tcPr>
            <w:tcW w:w="1134" w:type="dxa"/>
            <w:shd w:val="clear" w:color="auto" w:fill="auto"/>
            <w:vAlign w:val="center"/>
          </w:tcPr>
          <w:p>
            <w:pPr>
              <w:spacing w:line="300" w:lineRule="exact"/>
              <w:jc w:val="left"/>
              <w:rPr>
                <w:rFonts w:ascii="方正书宋_GBK" w:eastAsia="方正书宋_GBK"/>
              </w:rPr>
            </w:pPr>
          </w:p>
        </w:tc>
        <w:tc>
          <w:tcPr>
            <w:tcW w:w="678"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、人大会议</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28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承担县人民代表大会和常务委员会各种会议的筹备、会务工作，负责常委会文件起草、审核把关，常委会会议、主任会议及常委会党组会议决定事项、工作部署、重要文件及领导批示的传达和督办。</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保障会议顺利召开，完成会议议程</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会议活动完成率</w:t>
            </w:r>
          </w:p>
        </w:tc>
        <w:tc>
          <w:tcPr>
            <w:tcW w:w="678"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2"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三、选举和任免</w:t>
            </w:r>
          </w:p>
        </w:tc>
        <w:tc>
          <w:tcPr>
            <w:tcW w:w="1276" w:type="dxa"/>
            <w:shd w:val="clear" w:color="auto" w:fill="auto"/>
            <w:vAlign w:val="center"/>
          </w:tcPr>
          <w:p>
            <w:pPr>
              <w:spacing w:line="300" w:lineRule="exact"/>
              <w:jc w:val="left"/>
              <w:rPr>
                <w:rFonts w:ascii="方正书宋_GBK" w:eastAsia="方正书宋_GBK"/>
              </w:rPr>
            </w:pPr>
          </w:p>
        </w:tc>
        <w:tc>
          <w:tcPr>
            <w:tcW w:w="28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3402"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rPr>
              <w:t>2</w:t>
            </w:r>
            <w:r>
              <w:rPr>
                <w:rFonts w:hint="eastAsia" w:ascii="方正书宋_GBK" w:eastAsia="方正书宋_GBK"/>
              </w:rPr>
              <w:t>、为确保有关选举的法律法规符合实际，在充分考察调研的基础上，实施对其进行修改。</w:t>
            </w:r>
            <w:r>
              <w:rPr>
                <w:rFonts w:ascii="方正书宋_GBK" w:eastAsia="方正书宋_GBK"/>
              </w:rPr>
              <w:t>3</w:t>
            </w:r>
            <w:r>
              <w:rPr>
                <w:rFonts w:hint="eastAsia" w:ascii="方正书宋_GBK" w:eastAsia="方正书宋_GBK"/>
              </w:rPr>
              <w:t>、对县政府组成人员和县人民法院、县人民检察院主要负责人进行目标责任监督，确保依法履行职责，完成目标任务。</w:t>
            </w:r>
          </w:p>
        </w:tc>
        <w:tc>
          <w:tcPr>
            <w:tcW w:w="1134" w:type="dxa"/>
            <w:shd w:val="clear" w:color="auto" w:fill="auto"/>
            <w:vAlign w:val="center"/>
          </w:tcPr>
          <w:p>
            <w:pPr>
              <w:spacing w:line="300" w:lineRule="exact"/>
              <w:jc w:val="left"/>
              <w:rPr>
                <w:rFonts w:ascii="方正书宋_GBK" w:eastAsia="方正书宋_GBK"/>
              </w:rPr>
            </w:pPr>
          </w:p>
        </w:tc>
        <w:tc>
          <w:tcPr>
            <w:tcW w:w="678"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32"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、换届选举及人事任免</w:t>
            </w:r>
          </w:p>
        </w:tc>
        <w:tc>
          <w:tcPr>
            <w:tcW w:w="1276" w:type="dxa"/>
            <w:shd w:val="clear" w:color="auto" w:fill="auto"/>
            <w:vAlign w:val="center"/>
          </w:tcPr>
          <w:p>
            <w:pPr>
              <w:spacing w:line="300" w:lineRule="exact"/>
              <w:jc w:val="left"/>
              <w:rPr>
                <w:rFonts w:ascii="方正书宋_GBK" w:eastAsia="方正书宋_GBK"/>
              </w:rPr>
            </w:pPr>
          </w:p>
        </w:tc>
        <w:tc>
          <w:tcPr>
            <w:tcW w:w="28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确保县乡人大换届选举工作顺利完成，提高组织换届选举工作水平；高质量完成机关领导人选举和常委会人事任免服务工作；高效督办有关部门负责人的目标责任书和述职报告。</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调研计划完成率</w:t>
            </w:r>
          </w:p>
        </w:tc>
        <w:tc>
          <w:tcPr>
            <w:tcW w:w="678"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9"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四、人大事务管理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34.00</w:t>
            </w:r>
          </w:p>
        </w:tc>
        <w:tc>
          <w:tcPr>
            <w:tcW w:w="28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新闻宣传和机关信息化建设与维护；人代会及常委会机关基础设施建设与维护；县</w:t>
            </w:r>
            <w:r>
              <w:rPr>
                <w:rFonts w:hint="eastAsia" w:ascii="方正书宋_GBK" w:eastAsia="方正书宋_GBK"/>
                <w:lang w:eastAsia="zh-CN"/>
              </w:rPr>
              <w:t>人大常委会机关</w:t>
            </w:r>
            <w:r>
              <w:rPr>
                <w:rFonts w:hint="eastAsia" w:ascii="方正书宋_GBK" w:eastAsia="方正书宋_GBK"/>
              </w:rPr>
              <w:t>日常管理事务；信访工作。</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1134" w:type="dxa"/>
            <w:shd w:val="clear" w:color="auto" w:fill="auto"/>
            <w:vAlign w:val="center"/>
          </w:tcPr>
          <w:p>
            <w:pPr>
              <w:spacing w:line="300" w:lineRule="exact"/>
              <w:jc w:val="left"/>
              <w:rPr>
                <w:rFonts w:ascii="方正书宋_GBK" w:eastAsia="方正书宋_GBK"/>
              </w:rPr>
            </w:pPr>
          </w:p>
        </w:tc>
        <w:tc>
          <w:tcPr>
            <w:tcW w:w="678"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34.00</w:t>
            </w:r>
          </w:p>
        </w:tc>
        <w:tc>
          <w:tcPr>
            <w:tcW w:w="2892"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办理来信来访，县人大日常活动，代表大会和常委会会议公报、人大工作年鉴；负责与外县市人大常委会联系。</w:t>
            </w:r>
          </w:p>
        </w:tc>
        <w:tc>
          <w:tcPr>
            <w:tcW w:w="3402"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保障新闻宣传与新闻发布工作正常开展，提高人大信息透明度和影响力，加强人大对内、对外交流。保障会议表决系统正常运转；网络与办公平台正常运行；促进社会和谐稳定。</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调研计划完成率</w:t>
            </w:r>
          </w:p>
        </w:tc>
        <w:tc>
          <w:tcPr>
            <w:tcW w:w="678"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85"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92"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新闻宣传任务完成率</w:t>
            </w:r>
          </w:p>
        </w:tc>
        <w:tc>
          <w:tcPr>
            <w:tcW w:w="678"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81"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8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机关文书档案印信管理和保密，机关人事、离退休人员服务，财务、基建、后勤服务；领导交办的其他工作。</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确保机关工作有效运转</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678"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五、人大立法</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8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根据自治县经济社会发展现实需要，启动相关立法工作</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从法律层面全面保障全域旅游产业、清真食品小镇建设和环境保护工作</w:t>
            </w:r>
          </w:p>
        </w:tc>
        <w:tc>
          <w:tcPr>
            <w:tcW w:w="1134" w:type="dxa"/>
            <w:shd w:val="clear" w:color="auto" w:fill="auto"/>
            <w:vAlign w:val="center"/>
          </w:tcPr>
          <w:p>
            <w:pPr>
              <w:spacing w:line="300" w:lineRule="exact"/>
              <w:jc w:val="left"/>
              <w:rPr>
                <w:rFonts w:ascii="方正书宋_GBK" w:eastAsia="方正书宋_GBK"/>
              </w:rPr>
            </w:pPr>
          </w:p>
        </w:tc>
        <w:tc>
          <w:tcPr>
            <w:tcW w:w="678"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34"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、人大立法</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8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启动《大厂回族自治县旅游条例》《大厂回族自治县清真食品管理条例》的</w:t>
            </w:r>
            <w:r>
              <w:rPr>
                <w:rFonts w:hint="eastAsia" w:ascii="方正书宋_GBK" w:eastAsia="方正书宋_GBK"/>
                <w:lang w:eastAsia="zh-CN"/>
              </w:rPr>
              <w:t>制定</w:t>
            </w:r>
            <w:r>
              <w:rPr>
                <w:rFonts w:hint="eastAsia" w:ascii="方正书宋_GBK" w:eastAsia="方正书宋_GBK"/>
              </w:rPr>
              <w:t>工作，修订《大厂回族自治县环境保护条例》。</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启动成相关条例的</w:t>
            </w:r>
            <w:r>
              <w:rPr>
                <w:rFonts w:hint="eastAsia" w:ascii="方正书宋_GBK" w:eastAsia="方正书宋_GBK"/>
                <w:lang w:eastAsia="zh-CN"/>
              </w:rPr>
              <w:t>制定</w:t>
            </w:r>
            <w:r>
              <w:rPr>
                <w:rFonts w:hint="eastAsia" w:ascii="方正书宋_GBK" w:eastAsia="方正书宋_GBK"/>
              </w:rPr>
              <w:t>及修改情况</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条例</w:t>
            </w:r>
            <w:r>
              <w:rPr>
                <w:rFonts w:hint="eastAsia" w:ascii="方正书宋_GBK" w:eastAsia="方正书宋_GBK"/>
                <w:lang w:eastAsia="zh-CN"/>
              </w:rPr>
              <w:t>制定</w:t>
            </w:r>
            <w:r>
              <w:rPr>
                <w:rFonts w:hint="eastAsia" w:ascii="方正书宋_GBK" w:eastAsia="方正书宋_GBK"/>
              </w:rPr>
              <w:t>完成率</w:t>
            </w:r>
          </w:p>
        </w:tc>
        <w:tc>
          <w:tcPr>
            <w:tcW w:w="678"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30%</w:t>
            </w:r>
          </w:p>
        </w:tc>
      </w:tr>
    </w:tbl>
    <w:p>
      <w:pPr>
        <w:ind w:firstLine="640" w:firstLineChars="200"/>
        <w:rPr>
          <w:rFonts w:ascii="黑体" w:hAnsi="黑体" w:eastAsia="黑体" w:cs="Times New Roman"/>
          <w:sz w:val="32"/>
          <w:szCs w:val="32"/>
        </w:rPr>
      </w:pPr>
      <w:r>
        <w:rPr>
          <w:rFonts w:hint="eastAsia" w:ascii="黑体" w:hAnsi="黑体" w:eastAsia="黑体" w:cs="黑体"/>
          <w:sz w:val="32"/>
          <w:szCs w:val="32"/>
        </w:rPr>
        <w:t>六、政府采购预算情况</w:t>
      </w:r>
    </w:p>
    <w:p>
      <w:pPr>
        <w:ind w:firstLine="640" w:firstLineChars="200"/>
        <w:outlineLvl w:val="0"/>
        <w:rPr>
          <w:rFonts w:ascii="Times New Roman" w:hAnsi="Times New Roman" w:eastAsia="方正仿宋_GBK" w:cs="Times New Roman"/>
          <w:sz w:val="32"/>
          <w:szCs w:val="32"/>
        </w:rPr>
      </w:pPr>
      <w:bookmarkStart w:id="1" w:name="_Toc471398468"/>
      <w:r>
        <w:rPr>
          <w:rFonts w:ascii="仿宋" w:hAnsi="仿宋" w:eastAsia="仿宋" w:cs="仿宋"/>
          <w:sz w:val="32"/>
          <w:szCs w:val="32"/>
        </w:rPr>
        <w:t>201</w:t>
      </w:r>
      <w:r>
        <w:rPr>
          <w:rFonts w:hint="eastAsia" w:ascii="仿宋" w:hAnsi="仿宋" w:eastAsia="仿宋" w:cs="仿宋"/>
          <w:sz w:val="32"/>
          <w:szCs w:val="32"/>
        </w:rPr>
        <w:t>8年，我单位无政府采购预算。</w:t>
      </w:r>
    </w:p>
    <w:bookmarkEnd w:id="1"/>
    <w:p>
      <w:pPr>
        <w:ind w:firstLine="640"/>
        <w:rPr>
          <w:rFonts w:ascii="黑体" w:hAnsi="黑体" w:eastAsia="黑体" w:cs="Times New Roman"/>
          <w:sz w:val="32"/>
          <w:szCs w:val="32"/>
        </w:rPr>
      </w:pPr>
      <w:r>
        <w:rPr>
          <w:rFonts w:hint="eastAsia" w:ascii="黑体" w:hAnsi="黑体" w:eastAsia="黑体" w:cs="黑体"/>
          <w:sz w:val="32"/>
          <w:szCs w:val="32"/>
        </w:rPr>
        <w:t>七、国有资产信息</w:t>
      </w:r>
    </w:p>
    <w:p>
      <w:pPr>
        <w:ind w:firstLine="640"/>
        <w:rPr>
          <w:rFonts w:ascii="仿宋" w:hAnsi="仿宋" w:eastAsia="仿宋" w:cs="Times New Roman"/>
          <w:sz w:val="32"/>
          <w:szCs w:val="32"/>
        </w:rPr>
      </w:pPr>
      <w:r>
        <w:rPr>
          <w:rFonts w:hint="eastAsia" w:ascii="仿宋" w:hAnsi="仿宋" w:eastAsia="仿宋" w:cs="仿宋"/>
          <w:color w:val="000000"/>
          <w:sz w:val="32"/>
          <w:szCs w:val="32"/>
        </w:rPr>
        <w:t>大厂回族自治县人民代表大会常务委员会</w:t>
      </w:r>
      <w:r>
        <w:rPr>
          <w:rFonts w:hint="eastAsia" w:ascii="仿宋" w:hAnsi="仿宋" w:eastAsia="仿宋" w:cs="仿宋"/>
          <w:sz w:val="32"/>
          <w:szCs w:val="32"/>
        </w:rPr>
        <w:t>（含所属单位）</w:t>
      </w:r>
      <w:r>
        <w:rPr>
          <w:rFonts w:ascii="仿宋" w:hAnsi="仿宋" w:eastAsia="仿宋" w:cs="仿宋"/>
          <w:sz w:val="32"/>
          <w:szCs w:val="32"/>
        </w:rPr>
        <w:t>201</w:t>
      </w:r>
      <w:r>
        <w:rPr>
          <w:rFonts w:hint="eastAsia" w:ascii="仿宋" w:hAnsi="仿宋" w:eastAsia="仿宋" w:cs="仿宋"/>
          <w:sz w:val="32"/>
          <w:szCs w:val="32"/>
        </w:rPr>
        <w:t>7年末固定资产金额为160.15万元，本年度无拟购置固定资产。详见下表。</w:t>
      </w:r>
    </w:p>
    <w:tbl>
      <w:tblPr>
        <w:tblStyle w:val="7"/>
        <w:tblW w:w="13317" w:type="dxa"/>
        <w:tblInd w:w="-106" w:type="dxa"/>
        <w:tblLayout w:type="fixed"/>
        <w:tblCellMar>
          <w:top w:w="0" w:type="dxa"/>
          <w:left w:w="108" w:type="dxa"/>
          <w:bottom w:w="0" w:type="dxa"/>
          <w:right w:w="108" w:type="dxa"/>
        </w:tblCellMar>
      </w:tblPr>
      <w:tblGrid>
        <w:gridCol w:w="5160"/>
        <w:gridCol w:w="3116"/>
        <w:gridCol w:w="5041"/>
      </w:tblGrid>
      <w:tr>
        <w:tblPrEx>
          <w:tblCellMar>
            <w:top w:w="0" w:type="dxa"/>
            <w:left w:w="108" w:type="dxa"/>
            <w:bottom w:w="0" w:type="dxa"/>
            <w:right w:w="108" w:type="dxa"/>
          </w:tblCellMar>
        </w:tblPrEx>
        <w:trPr>
          <w:trHeight w:val="758" w:hRule="atLeast"/>
        </w:trPr>
        <w:tc>
          <w:tcPr>
            <w:tcW w:w="13317" w:type="dxa"/>
            <w:gridSpan w:val="3"/>
            <w:tcBorders>
              <w:top w:val="nil"/>
              <w:left w:val="nil"/>
              <w:bottom w:val="nil"/>
              <w:right w:val="nil"/>
            </w:tcBorders>
            <w:vAlign w:val="center"/>
          </w:tcPr>
          <w:p>
            <w:pPr>
              <w:widowControl/>
              <w:ind w:firstLine="1"/>
              <w:jc w:val="center"/>
              <w:rPr>
                <w:rFonts w:ascii="宋体" w:cs="Times New Roman"/>
                <w:b/>
                <w:bCs/>
                <w:kern w:val="0"/>
                <w:sz w:val="32"/>
                <w:szCs w:val="32"/>
              </w:rPr>
            </w:pPr>
            <w:r>
              <w:rPr>
                <w:rFonts w:hint="eastAsia" w:ascii="宋体" w:hAnsi="宋体" w:cs="宋体"/>
                <w:b/>
                <w:bCs/>
                <w:kern w:val="0"/>
                <w:sz w:val="32"/>
                <w:szCs w:val="32"/>
              </w:rPr>
              <w:t>固定资产占用情况表</w:t>
            </w:r>
          </w:p>
        </w:tc>
      </w:tr>
      <w:tr>
        <w:tblPrEx>
          <w:tblCellMar>
            <w:top w:w="0" w:type="dxa"/>
            <w:left w:w="108" w:type="dxa"/>
            <w:bottom w:w="0" w:type="dxa"/>
            <w:right w:w="108" w:type="dxa"/>
          </w:tblCellMar>
        </w:tblPrEx>
        <w:trPr>
          <w:trHeight w:val="427" w:hRule="atLeast"/>
        </w:trPr>
        <w:tc>
          <w:tcPr>
            <w:tcW w:w="8276" w:type="dxa"/>
            <w:gridSpan w:val="2"/>
            <w:tcBorders>
              <w:top w:val="nil"/>
              <w:left w:val="nil"/>
              <w:bottom w:val="nil"/>
              <w:right w:val="nil"/>
            </w:tcBorders>
            <w:vAlign w:val="center"/>
          </w:tcPr>
          <w:p>
            <w:pPr>
              <w:widowControl/>
              <w:jc w:val="left"/>
              <w:rPr>
                <w:rFonts w:ascii="宋体" w:cs="Times New Roman"/>
                <w:kern w:val="0"/>
                <w:sz w:val="22"/>
              </w:rPr>
            </w:pPr>
            <w:r>
              <w:rPr>
                <w:rFonts w:hint="eastAsia" w:ascii="宋体" w:hAnsi="宋体" w:cs="宋体"/>
                <w:kern w:val="0"/>
                <w:sz w:val="22"/>
                <w:szCs w:val="22"/>
              </w:rPr>
              <w:t>编制部门：大厂回族自治县人民代表大会常务委员会</w:t>
            </w:r>
          </w:p>
        </w:tc>
        <w:tc>
          <w:tcPr>
            <w:tcW w:w="5040" w:type="dxa"/>
            <w:tcBorders>
              <w:top w:val="nil"/>
              <w:left w:val="nil"/>
              <w:bottom w:val="nil"/>
              <w:right w:val="nil"/>
            </w:tcBorders>
            <w:vAlign w:val="center"/>
          </w:tcPr>
          <w:p>
            <w:pPr>
              <w:widowControl/>
              <w:jc w:val="right"/>
              <w:rPr>
                <w:rFonts w:ascii="宋体" w:cs="Times New Roman"/>
                <w:kern w:val="0"/>
                <w:sz w:val="22"/>
              </w:rPr>
            </w:pPr>
            <w:r>
              <w:rPr>
                <w:rFonts w:hint="eastAsia" w:ascii="宋体" w:hAnsi="宋体" w:cs="宋体"/>
                <w:kern w:val="0"/>
                <w:sz w:val="22"/>
                <w:szCs w:val="22"/>
              </w:rPr>
              <w:t>截止时间：</w:t>
            </w:r>
            <w:r>
              <w:rPr>
                <w:rFonts w:ascii="宋体" w:hAnsi="宋体" w:cs="宋体"/>
                <w:kern w:val="0"/>
                <w:sz w:val="22"/>
                <w:szCs w:val="22"/>
              </w:rPr>
              <w:t>201</w:t>
            </w:r>
            <w:r>
              <w:rPr>
                <w:rFonts w:hint="eastAsia" w:ascii="宋体" w:hAnsi="宋体" w:cs="宋体"/>
                <w:kern w:val="0"/>
                <w:sz w:val="22"/>
                <w:szCs w:val="22"/>
              </w:rPr>
              <w:t>7年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p>
        </w:tc>
      </w:tr>
      <w:tr>
        <w:tblPrEx>
          <w:tblCellMar>
            <w:top w:w="0" w:type="dxa"/>
            <w:left w:w="108" w:type="dxa"/>
            <w:bottom w:w="0" w:type="dxa"/>
            <w:right w:w="108" w:type="dxa"/>
          </w:tblCellMar>
        </w:tblPrEx>
        <w:trPr>
          <w:trHeight w:val="540" w:hRule="atLeast"/>
        </w:trPr>
        <w:tc>
          <w:tcPr>
            <w:tcW w:w="5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项目</w:t>
            </w:r>
          </w:p>
        </w:tc>
        <w:tc>
          <w:tcPr>
            <w:tcW w:w="311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数量</w:t>
            </w:r>
          </w:p>
        </w:tc>
        <w:tc>
          <w:tcPr>
            <w:tcW w:w="504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价值（金额单位：万元）</w:t>
            </w:r>
          </w:p>
        </w:tc>
      </w:tr>
      <w:tr>
        <w:tblPrEx>
          <w:tblCellMar>
            <w:top w:w="0" w:type="dxa"/>
            <w:left w:w="108" w:type="dxa"/>
            <w:bottom w:w="0" w:type="dxa"/>
            <w:right w:w="108" w:type="dxa"/>
          </w:tblCellMar>
        </w:tblPrEx>
        <w:trPr>
          <w:trHeight w:val="540" w:hRule="atLeast"/>
        </w:trPr>
        <w:tc>
          <w:tcPr>
            <w:tcW w:w="516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szCs w:val="22"/>
              </w:rPr>
              <w:t>资产总额</w:t>
            </w:r>
          </w:p>
        </w:tc>
        <w:tc>
          <w:tcPr>
            <w:tcW w:w="3116"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w:t>
            </w:r>
          </w:p>
        </w:tc>
        <w:tc>
          <w:tcPr>
            <w:tcW w:w="504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szCs w:val="22"/>
              </w:rPr>
              <w:t>160.15</w:t>
            </w:r>
          </w:p>
        </w:tc>
      </w:tr>
      <w:tr>
        <w:tblPrEx>
          <w:tblCellMar>
            <w:top w:w="0" w:type="dxa"/>
            <w:left w:w="108" w:type="dxa"/>
            <w:bottom w:w="0" w:type="dxa"/>
            <w:right w:w="108" w:type="dxa"/>
          </w:tblCellMar>
        </w:tblPrEx>
        <w:trPr>
          <w:trHeight w:val="540" w:hRule="atLeast"/>
        </w:trPr>
        <w:tc>
          <w:tcPr>
            <w:tcW w:w="5160"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1</w:t>
            </w:r>
            <w:r>
              <w:rPr>
                <w:rFonts w:hint="eastAsia" w:ascii="宋体" w:hAnsi="宋体" w:cs="宋体"/>
                <w:kern w:val="0"/>
                <w:sz w:val="22"/>
                <w:szCs w:val="22"/>
              </w:rPr>
              <w:t>、房屋（平方米）</w:t>
            </w:r>
          </w:p>
        </w:tc>
        <w:tc>
          <w:tcPr>
            <w:tcW w:w="311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750</w:t>
            </w:r>
          </w:p>
        </w:tc>
        <w:tc>
          <w:tcPr>
            <w:tcW w:w="504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34</w:t>
            </w:r>
          </w:p>
        </w:tc>
      </w:tr>
      <w:tr>
        <w:tblPrEx>
          <w:tblCellMar>
            <w:top w:w="0" w:type="dxa"/>
            <w:left w:w="108" w:type="dxa"/>
            <w:bottom w:w="0" w:type="dxa"/>
            <w:right w:w="108" w:type="dxa"/>
          </w:tblCellMar>
        </w:tblPrEx>
        <w:trPr>
          <w:trHeight w:val="540" w:hRule="atLeast"/>
        </w:trPr>
        <w:tc>
          <w:tcPr>
            <w:tcW w:w="5160"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hint="eastAsia" w:ascii="宋体" w:hAnsi="宋体" w:cs="宋体"/>
                <w:kern w:val="0"/>
                <w:sz w:val="22"/>
                <w:szCs w:val="22"/>
              </w:rPr>
              <w:t>其中：办公用房（平方米）</w:t>
            </w:r>
          </w:p>
        </w:tc>
        <w:tc>
          <w:tcPr>
            <w:tcW w:w="311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750</w:t>
            </w:r>
          </w:p>
        </w:tc>
        <w:tc>
          <w:tcPr>
            <w:tcW w:w="504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34</w:t>
            </w:r>
          </w:p>
        </w:tc>
      </w:tr>
      <w:tr>
        <w:tblPrEx>
          <w:tblCellMar>
            <w:top w:w="0" w:type="dxa"/>
            <w:left w:w="108" w:type="dxa"/>
            <w:bottom w:w="0" w:type="dxa"/>
            <w:right w:w="108" w:type="dxa"/>
          </w:tblCellMar>
        </w:tblPrEx>
        <w:trPr>
          <w:trHeight w:val="540" w:hRule="atLeast"/>
        </w:trPr>
        <w:tc>
          <w:tcPr>
            <w:tcW w:w="5160"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2</w:t>
            </w:r>
            <w:r>
              <w:rPr>
                <w:rFonts w:hint="eastAsia" w:ascii="宋体" w:hAnsi="宋体" w:cs="宋体"/>
                <w:kern w:val="0"/>
                <w:sz w:val="22"/>
                <w:szCs w:val="22"/>
              </w:rPr>
              <w:t>、车辆（台、辆）</w:t>
            </w:r>
          </w:p>
        </w:tc>
        <w:tc>
          <w:tcPr>
            <w:tcW w:w="311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4</w:t>
            </w:r>
          </w:p>
        </w:tc>
        <w:tc>
          <w:tcPr>
            <w:tcW w:w="504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75.68</w:t>
            </w:r>
          </w:p>
        </w:tc>
      </w:tr>
      <w:tr>
        <w:tblPrEx>
          <w:tblCellMar>
            <w:top w:w="0" w:type="dxa"/>
            <w:left w:w="108" w:type="dxa"/>
            <w:bottom w:w="0" w:type="dxa"/>
            <w:right w:w="108" w:type="dxa"/>
          </w:tblCellMar>
        </w:tblPrEx>
        <w:trPr>
          <w:trHeight w:val="540" w:hRule="atLeast"/>
        </w:trPr>
        <w:tc>
          <w:tcPr>
            <w:tcW w:w="5160"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20</w:t>
            </w:r>
            <w:r>
              <w:rPr>
                <w:rFonts w:hint="eastAsia" w:ascii="宋体" w:hAnsi="宋体" w:cs="宋体"/>
                <w:kern w:val="0"/>
                <w:sz w:val="22"/>
                <w:szCs w:val="22"/>
              </w:rPr>
              <w:t>万元以上的设备</w:t>
            </w:r>
          </w:p>
        </w:tc>
        <w:tc>
          <w:tcPr>
            <w:tcW w:w="3116"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c>
          <w:tcPr>
            <w:tcW w:w="5040"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r>
      <w:tr>
        <w:tblPrEx>
          <w:tblCellMar>
            <w:top w:w="0" w:type="dxa"/>
            <w:left w:w="108" w:type="dxa"/>
            <w:bottom w:w="0" w:type="dxa"/>
            <w:right w:w="108" w:type="dxa"/>
          </w:tblCellMar>
        </w:tblPrEx>
        <w:trPr>
          <w:trHeight w:val="540" w:hRule="atLeast"/>
        </w:trPr>
        <w:tc>
          <w:tcPr>
            <w:tcW w:w="5160"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4</w:t>
            </w:r>
            <w:r>
              <w:rPr>
                <w:rFonts w:hint="eastAsia" w:ascii="宋体" w:hAnsi="宋体" w:cs="宋体"/>
                <w:kern w:val="0"/>
                <w:sz w:val="22"/>
                <w:szCs w:val="22"/>
              </w:rPr>
              <w:t>、其他固定资产</w:t>
            </w:r>
          </w:p>
        </w:tc>
        <w:tc>
          <w:tcPr>
            <w:tcW w:w="3116"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c>
          <w:tcPr>
            <w:tcW w:w="504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szCs w:val="22"/>
              </w:rPr>
              <w:t>50.47</w:t>
            </w:r>
          </w:p>
        </w:tc>
      </w:tr>
    </w:tbl>
    <w:p>
      <w:pPr>
        <w:ind w:firstLine="640" w:firstLineChars="200"/>
        <w:rPr>
          <w:rFonts w:ascii="黑体" w:hAnsi="黑体" w:eastAsia="黑体" w:cs="黑体"/>
          <w:sz w:val="32"/>
          <w:szCs w:val="32"/>
        </w:rPr>
      </w:pPr>
      <w:r>
        <w:rPr>
          <w:rFonts w:hint="eastAsia" w:ascii="黑体" w:hAnsi="黑体" w:eastAsia="黑体" w:cs="黑体"/>
          <w:sz w:val="32"/>
          <w:szCs w:val="32"/>
        </w:rPr>
        <w:t>八、名词解释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1、一般公共预算拨款收入：指县级财政当年拨付的资金。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2、事业收入：指事业单位开展专业业务活动及辅助活动所取得的收入。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3、其他收入：指除上述“财政拨款收入”、“事业收入”等以外的收入。主要是按规定动用的租房收入、存款利息收入等。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4、基本支出：指为保障机构正常运转、完成日常工作任务而发生的人员支出和公用支出。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5、项目支出：指在基本支出之外为完成特定行政任务和事业发展目标所发生的支出。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6、上缴上级支出：指下级单位上缴上级的支出。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仿宋"/>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ΟGB2312">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SimSun-ExtB"/>
    <w:panose1 w:val="00000000000000000000"/>
    <w:charset w:val="86"/>
    <w:family w:val="script"/>
    <w:pitch w:val="default"/>
    <w:sig w:usb0="00000000" w:usb1="00000000" w:usb2="00000010" w:usb3="00000000" w:csb0="00040000" w:csb1="00000000"/>
  </w:font>
  <w:font w:name="方正仿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66032"/>
    <w:rsid w:val="00000C70"/>
    <w:rsid w:val="00037AF6"/>
    <w:rsid w:val="00045A61"/>
    <w:rsid w:val="00075D5F"/>
    <w:rsid w:val="00090FE0"/>
    <w:rsid w:val="000B1393"/>
    <w:rsid w:val="000B70A2"/>
    <w:rsid w:val="000C3A19"/>
    <w:rsid w:val="000D162F"/>
    <w:rsid w:val="0012300A"/>
    <w:rsid w:val="00123FB2"/>
    <w:rsid w:val="001245BB"/>
    <w:rsid w:val="00125839"/>
    <w:rsid w:val="001561CA"/>
    <w:rsid w:val="001578A9"/>
    <w:rsid w:val="00160C39"/>
    <w:rsid w:val="001830AA"/>
    <w:rsid w:val="001840FC"/>
    <w:rsid w:val="0018479D"/>
    <w:rsid w:val="00185922"/>
    <w:rsid w:val="001D31ED"/>
    <w:rsid w:val="001E525E"/>
    <w:rsid w:val="001F6B16"/>
    <w:rsid w:val="00241FD4"/>
    <w:rsid w:val="00251B12"/>
    <w:rsid w:val="0026157C"/>
    <w:rsid w:val="002645FB"/>
    <w:rsid w:val="00266406"/>
    <w:rsid w:val="00296113"/>
    <w:rsid w:val="002E5E3C"/>
    <w:rsid w:val="002F3E58"/>
    <w:rsid w:val="003042EF"/>
    <w:rsid w:val="0030542C"/>
    <w:rsid w:val="00306F4B"/>
    <w:rsid w:val="00311B7A"/>
    <w:rsid w:val="00325F0C"/>
    <w:rsid w:val="0033448F"/>
    <w:rsid w:val="00353658"/>
    <w:rsid w:val="00355A6A"/>
    <w:rsid w:val="00387A9B"/>
    <w:rsid w:val="0039309C"/>
    <w:rsid w:val="003A7FB1"/>
    <w:rsid w:val="003E1A7F"/>
    <w:rsid w:val="004428F4"/>
    <w:rsid w:val="00451871"/>
    <w:rsid w:val="00463833"/>
    <w:rsid w:val="00464C84"/>
    <w:rsid w:val="00472923"/>
    <w:rsid w:val="0048114F"/>
    <w:rsid w:val="0048531E"/>
    <w:rsid w:val="004B572C"/>
    <w:rsid w:val="004C16CE"/>
    <w:rsid w:val="004D78D6"/>
    <w:rsid w:val="004E3066"/>
    <w:rsid w:val="004E74CD"/>
    <w:rsid w:val="00515752"/>
    <w:rsid w:val="00530356"/>
    <w:rsid w:val="00531B22"/>
    <w:rsid w:val="005441B5"/>
    <w:rsid w:val="00573562"/>
    <w:rsid w:val="0057700F"/>
    <w:rsid w:val="005C37DB"/>
    <w:rsid w:val="005D3582"/>
    <w:rsid w:val="005E73DC"/>
    <w:rsid w:val="005F2C47"/>
    <w:rsid w:val="005F7C98"/>
    <w:rsid w:val="00604BA6"/>
    <w:rsid w:val="0060597D"/>
    <w:rsid w:val="00607DA4"/>
    <w:rsid w:val="00614A29"/>
    <w:rsid w:val="006709F8"/>
    <w:rsid w:val="006741DF"/>
    <w:rsid w:val="00677660"/>
    <w:rsid w:val="00691DE1"/>
    <w:rsid w:val="006959DF"/>
    <w:rsid w:val="00697865"/>
    <w:rsid w:val="006C38CB"/>
    <w:rsid w:val="006C6861"/>
    <w:rsid w:val="006D175D"/>
    <w:rsid w:val="006E3D66"/>
    <w:rsid w:val="006F21B4"/>
    <w:rsid w:val="00705D17"/>
    <w:rsid w:val="00712A1D"/>
    <w:rsid w:val="00713461"/>
    <w:rsid w:val="007221D2"/>
    <w:rsid w:val="00736EED"/>
    <w:rsid w:val="0075393C"/>
    <w:rsid w:val="007676BD"/>
    <w:rsid w:val="00776C08"/>
    <w:rsid w:val="007A63CC"/>
    <w:rsid w:val="007B4EE0"/>
    <w:rsid w:val="007D5F50"/>
    <w:rsid w:val="007E08BA"/>
    <w:rsid w:val="007E1DA8"/>
    <w:rsid w:val="007F3FE5"/>
    <w:rsid w:val="007F6C26"/>
    <w:rsid w:val="00807257"/>
    <w:rsid w:val="00810B2C"/>
    <w:rsid w:val="00816BE3"/>
    <w:rsid w:val="008268DE"/>
    <w:rsid w:val="00827FDF"/>
    <w:rsid w:val="008334AE"/>
    <w:rsid w:val="00836FED"/>
    <w:rsid w:val="00845CD2"/>
    <w:rsid w:val="008502D8"/>
    <w:rsid w:val="00852B0D"/>
    <w:rsid w:val="00877480"/>
    <w:rsid w:val="00881692"/>
    <w:rsid w:val="008A3301"/>
    <w:rsid w:val="008A4CFE"/>
    <w:rsid w:val="008A5251"/>
    <w:rsid w:val="008B3CC5"/>
    <w:rsid w:val="008C2BAF"/>
    <w:rsid w:val="008D18A3"/>
    <w:rsid w:val="008E4261"/>
    <w:rsid w:val="008F27AF"/>
    <w:rsid w:val="008F3E71"/>
    <w:rsid w:val="008F4662"/>
    <w:rsid w:val="00905D08"/>
    <w:rsid w:val="00906D68"/>
    <w:rsid w:val="009141E1"/>
    <w:rsid w:val="00925753"/>
    <w:rsid w:val="009413DB"/>
    <w:rsid w:val="00952E5C"/>
    <w:rsid w:val="009647AA"/>
    <w:rsid w:val="00966C5C"/>
    <w:rsid w:val="00973104"/>
    <w:rsid w:val="00977B88"/>
    <w:rsid w:val="00984154"/>
    <w:rsid w:val="009C110E"/>
    <w:rsid w:val="009E568B"/>
    <w:rsid w:val="009F6E7D"/>
    <w:rsid w:val="00A0252C"/>
    <w:rsid w:val="00A1354F"/>
    <w:rsid w:val="00A37EEB"/>
    <w:rsid w:val="00A72D2E"/>
    <w:rsid w:val="00A911E7"/>
    <w:rsid w:val="00A914A5"/>
    <w:rsid w:val="00A939D9"/>
    <w:rsid w:val="00AA7E40"/>
    <w:rsid w:val="00AD1F66"/>
    <w:rsid w:val="00B16ECB"/>
    <w:rsid w:val="00B20712"/>
    <w:rsid w:val="00B30CA2"/>
    <w:rsid w:val="00B43238"/>
    <w:rsid w:val="00B75216"/>
    <w:rsid w:val="00B91D52"/>
    <w:rsid w:val="00BA1ACD"/>
    <w:rsid w:val="00BA20FE"/>
    <w:rsid w:val="00BC5DFC"/>
    <w:rsid w:val="00BC7BEF"/>
    <w:rsid w:val="00BD4E6D"/>
    <w:rsid w:val="00C27F97"/>
    <w:rsid w:val="00C33FAC"/>
    <w:rsid w:val="00C458DA"/>
    <w:rsid w:val="00C5651F"/>
    <w:rsid w:val="00C96FC3"/>
    <w:rsid w:val="00CA7176"/>
    <w:rsid w:val="00CB3DD5"/>
    <w:rsid w:val="00CD2773"/>
    <w:rsid w:val="00CD4373"/>
    <w:rsid w:val="00CE143B"/>
    <w:rsid w:val="00CE52E9"/>
    <w:rsid w:val="00CE6759"/>
    <w:rsid w:val="00CE7EED"/>
    <w:rsid w:val="00D44EE0"/>
    <w:rsid w:val="00D750BD"/>
    <w:rsid w:val="00DC2FA4"/>
    <w:rsid w:val="00DF2C4B"/>
    <w:rsid w:val="00DF31EA"/>
    <w:rsid w:val="00DF7CE1"/>
    <w:rsid w:val="00E167C7"/>
    <w:rsid w:val="00E31061"/>
    <w:rsid w:val="00E62CAF"/>
    <w:rsid w:val="00E805A9"/>
    <w:rsid w:val="00E9625E"/>
    <w:rsid w:val="00EA58F9"/>
    <w:rsid w:val="00EA7646"/>
    <w:rsid w:val="00EC47F6"/>
    <w:rsid w:val="00EE1B43"/>
    <w:rsid w:val="00F06311"/>
    <w:rsid w:val="00F13C5C"/>
    <w:rsid w:val="00F153EF"/>
    <w:rsid w:val="00F2390D"/>
    <w:rsid w:val="00F528DB"/>
    <w:rsid w:val="00F66032"/>
    <w:rsid w:val="00F84F86"/>
    <w:rsid w:val="00F94B8A"/>
    <w:rsid w:val="00F958C2"/>
    <w:rsid w:val="00FC4407"/>
    <w:rsid w:val="00FC6A52"/>
    <w:rsid w:val="00FD73D3"/>
    <w:rsid w:val="1FA4519D"/>
    <w:rsid w:val="24892C4A"/>
    <w:rsid w:val="37167902"/>
    <w:rsid w:val="3D38594C"/>
    <w:rsid w:val="7D39772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semiHidden/>
    <w:qFormat/>
    <w:uiPriority w:val="99"/>
    <w:rPr>
      <w:rFonts w:ascii="Times New Roman" w:hAnsi="Times New Roman" w:cs="Times New Roman"/>
    </w:rPr>
  </w:style>
  <w:style w:type="paragraph" w:styleId="5">
    <w:name w:val="toc 2"/>
    <w:basedOn w:val="1"/>
    <w:next w:val="1"/>
    <w:semiHidden/>
    <w:qFormat/>
    <w:uiPriority w:val="99"/>
    <w:pPr>
      <w:ind w:left="420" w:leftChars="200"/>
    </w:pPr>
    <w:rPr>
      <w:rFonts w:ascii="Times New Roman" w:hAnsi="Times New Roman" w:cs="Times New Roman"/>
    </w:rPr>
  </w:style>
  <w:style w:type="paragraph" w:styleId="6">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character" w:customStyle="1" w:styleId="9">
    <w:name w:val="页脚 Char"/>
    <w:basedOn w:val="8"/>
    <w:link w:val="2"/>
    <w:qFormat/>
    <w:locked/>
    <w:uiPriority w:val="99"/>
    <w:rPr>
      <w:rFonts w:ascii="Times New Roman" w:hAnsi="Times New Roman" w:eastAsia="宋体" w:cs="Times New Roman"/>
      <w:sz w:val="18"/>
      <w:szCs w:val="18"/>
    </w:rPr>
  </w:style>
  <w:style w:type="character" w:customStyle="1" w:styleId="10">
    <w:name w:val="页眉 Char"/>
    <w:basedOn w:val="8"/>
    <w:link w:val="3"/>
    <w:qFormat/>
    <w:locked/>
    <w:uiPriority w:val="99"/>
    <w:rPr>
      <w:rFonts w:ascii="Times New Roman" w:hAnsi="Times New Roman" w:eastAsia="宋体" w:cs="Times New Roman"/>
      <w:sz w:val="18"/>
      <w:szCs w:val="18"/>
    </w:rPr>
  </w:style>
  <w:style w:type="paragraph" w:customStyle="1" w:styleId="11">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paragraph" w:customStyle="1" w:styleId="12">
    <w:name w:val="zw"/>
    <w:basedOn w:val="1"/>
    <w:qFormat/>
    <w:uiPriority w:val="0"/>
    <w:pPr>
      <w:widowControl/>
      <w:spacing w:after="100" w:afterAutospacing="1" w:line="560" w:lineRule="atLeast"/>
      <w:ind w:firstLine="640"/>
      <w:jc w:val="left"/>
    </w:pPr>
    <w:rPr>
      <w:rFonts w:ascii="ΟGB2312" w:hAnsi="宋体" w:eastAsia="ΟGB2312" w:cs="宋体"/>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14</Pages>
  <Words>897</Words>
  <Characters>5117</Characters>
  <Lines>42</Lines>
  <Paragraphs>12</Paragraphs>
  <TotalTime>144</TotalTime>
  <ScaleCrop>false</ScaleCrop>
  <LinksUpToDate>false</LinksUpToDate>
  <CharactersWithSpaces>6002</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2024-01-11T08:32:01Z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99A14BBB016A4E998E649166F5C05EC7</vt:lpwstr>
  </property>
</Properties>
</file>